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3E28" w14:textId="2E5CC9F0" w:rsidR="00570FD2" w:rsidRDefault="005429C1" w:rsidP="00570FD2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2060"/>
          <w:kern w:val="0"/>
          <w:sz w:val="32"/>
          <w:szCs w:val="32"/>
          <w14:ligatures w14:val="none"/>
        </w:rPr>
      </w:pPr>
      <w:r>
        <w:rPr>
          <w:rFonts w:ascii="Tahoma" w:eastAsia="Times New Roman" w:hAnsi="Tahoma" w:cs="Tahoma"/>
          <w:b/>
          <w:bCs/>
          <w:noProof/>
          <w:color w:val="00206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BBD162" wp14:editId="7A8A9B5B">
            <wp:simplePos x="0" y="0"/>
            <wp:positionH relativeFrom="column">
              <wp:posOffset>-352425</wp:posOffset>
            </wp:positionH>
            <wp:positionV relativeFrom="page">
              <wp:posOffset>400050</wp:posOffset>
            </wp:positionV>
            <wp:extent cx="1545336" cy="1088136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FD2" w:rsidRPr="00570FD2">
        <w:rPr>
          <w:rFonts w:ascii="Tahoma" w:eastAsia="Times New Roman" w:hAnsi="Tahoma" w:cs="Tahoma"/>
          <w:b/>
          <w:bCs/>
          <w:color w:val="002060"/>
          <w:kern w:val="0"/>
          <w:sz w:val="32"/>
          <w:szCs w:val="32"/>
          <w14:ligatures w14:val="none"/>
        </w:rPr>
        <w:t>Dr. Elsey’s Show Sponsorship Funds</w:t>
      </w:r>
    </w:p>
    <w:p w14:paraId="2EC15BB3" w14:textId="7627DC52" w:rsidR="00570FD2" w:rsidRPr="00570FD2" w:rsidRDefault="00570FD2" w:rsidP="00570FD2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2060"/>
          <w:kern w:val="0"/>
          <w:sz w:val="32"/>
          <w:szCs w:val="32"/>
          <w14:ligatures w14:val="none"/>
        </w:rPr>
      </w:pPr>
      <w:r w:rsidRPr="00570FD2">
        <w:rPr>
          <w:rFonts w:ascii="Tahoma" w:eastAsia="Times New Roman" w:hAnsi="Tahoma" w:cs="Tahoma"/>
          <w:b/>
          <w:bCs/>
          <w:color w:val="002060"/>
          <w:kern w:val="0"/>
          <w:sz w:val="32"/>
          <w:szCs w:val="32"/>
          <w14:ligatures w14:val="none"/>
        </w:rPr>
        <w:t>Available to All TICA Licensed Clubs</w:t>
      </w:r>
    </w:p>
    <w:p w14:paraId="33E32A91" w14:textId="77777777" w:rsidR="00570FD2" w:rsidRDefault="00570FD2" w:rsidP="00570FD2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14:paraId="7B57ED40" w14:textId="247D50DB" w:rsidR="001F713D" w:rsidRPr="00570FD2" w:rsidRDefault="001968D4" w:rsidP="003769EF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  <w:r w:rsidRPr="00570FD2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Looking to host a show, but short on funds? </w:t>
      </w:r>
      <w:r w:rsidR="007D0933" w:rsidRPr="00570FD2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To help ease the cost of hosting shows, a</w:t>
      </w:r>
      <w:r w:rsidR="003769EF" w:rsidRPr="003769EF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ll TICA </w:t>
      </w:r>
      <w:r w:rsidRPr="00570FD2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l</w:t>
      </w:r>
      <w:r w:rsidR="003769EF" w:rsidRPr="003769EF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icensed </w:t>
      </w:r>
      <w:r w:rsidRPr="00145AF6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c</w:t>
      </w:r>
      <w:r w:rsidR="003769EF" w:rsidRPr="00145AF6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lubs are eligible to apply for Dr. Elsey's Club Sponsorship funding</w:t>
      </w:r>
      <w:r w:rsidR="001F713D" w:rsidRPr="00145AF6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>.</w:t>
      </w:r>
      <w:r w:rsidR="005429C1" w:rsidRPr="00145AF6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This program has been in place for several years, don’t miss out.</w:t>
      </w:r>
      <w:r w:rsidR="005429C1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1F713D" w:rsidRPr="00570FD2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</w:p>
    <w:p w14:paraId="32C5F4F2" w14:textId="6F52C319" w:rsidR="001968D4" w:rsidRPr="00570FD2" w:rsidRDefault="001968D4" w:rsidP="003769EF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14:paraId="3E667EF1" w14:textId="7693A90A" w:rsidR="00AF7A3D" w:rsidRDefault="00AF7A3D" w:rsidP="003769EF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145AF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Allocations for 2023 shows include:</w:t>
      </w:r>
    </w:p>
    <w:p w14:paraId="19C8C96A" w14:textId="77777777" w:rsidR="00145AF6" w:rsidRPr="00145AF6" w:rsidRDefault="00145AF6" w:rsidP="003769EF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522F56B4" w14:textId="77EA541E" w:rsidR="00AF7A3D" w:rsidRPr="00570FD2" w:rsidRDefault="00AF7A3D" w:rsidP="00AF7A3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Each club may receive $500 per club per calendar year.</w:t>
      </w:r>
      <w:r w:rsidR="001968D4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</w:p>
    <w:p w14:paraId="58C81C59" w14:textId="0AA1CA77" w:rsidR="00AF7A3D" w:rsidRPr="00570FD2" w:rsidRDefault="00AF7A3D" w:rsidP="00AF7A3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Clubs are eligible to receive $750 for hosting a Regional Show. Please not</w:t>
      </w:r>
      <w:r w:rsidR="001968D4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e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Regional Shows do </w:t>
      </w:r>
      <w:r w:rsidRPr="00570F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not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count as </w:t>
      </w:r>
      <w:r w:rsidR="00E40213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the $</w:t>
      </w:r>
      <w:r w:rsidR="00E40213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500 </w:t>
      </w:r>
      <w:r w:rsidR="005429C1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>annual</w:t>
      </w:r>
      <w:r w:rsidR="005429C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E40213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club allocation.</w:t>
      </w:r>
    </w:p>
    <w:p w14:paraId="7E5BC86A" w14:textId="188A33CD" w:rsidR="00AF7A3D" w:rsidRPr="00570FD2" w:rsidRDefault="00AF7A3D" w:rsidP="00AF7A3D">
      <w:pPr>
        <w:pStyle w:val="ListParagraph"/>
        <w:numPr>
          <w:ilvl w:val="0"/>
          <w:numId w:val="7"/>
        </w:num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Clubs may receive $1,000 per club for hosting Pet Expos</w:t>
      </w:r>
      <w:r w:rsidR="001968D4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08F208F1" w14:textId="051CFACE" w:rsidR="001968D4" w:rsidRPr="00570FD2" w:rsidRDefault="001968D4" w:rsidP="001968D4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91B23FC" w14:textId="132B89A3" w:rsidR="007D0933" w:rsidRPr="00145AF6" w:rsidRDefault="007D0933" w:rsidP="00AF7A3D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145AF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To apply for </w:t>
      </w:r>
      <w:r w:rsidR="00E40213" w:rsidRPr="00145AF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Dr. Elsey’s club sponsorship </w:t>
      </w:r>
      <w:r w:rsidRPr="00145AF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funds, </w:t>
      </w:r>
      <w:r w:rsidR="00E40213" w:rsidRPr="00145AF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each </w:t>
      </w:r>
      <w:r w:rsidRPr="00145AF6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ligatures w14:val="none"/>
        </w:rPr>
        <w:t>club must:</w:t>
      </w:r>
    </w:p>
    <w:p w14:paraId="084BFAF9" w14:textId="77777777" w:rsidR="00570FD2" w:rsidRPr="00570FD2" w:rsidRDefault="00570FD2" w:rsidP="00AF7A3D">
      <w:pPr>
        <w:shd w:val="clear" w:color="auto" w:fill="FFFFFF"/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</w:pPr>
    </w:p>
    <w:p w14:paraId="04E1A7BA" w14:textId="63C6817F" w:rsidR="007D0933" w:rsidRPr="00145AF6" w:rsidRDefault="00E40213" w:rsidP="00570FD2">
      <w:pPr>
        <w:pStyle w:val="ListParagraph"/>
        <w:numPr>
          <w:ilvl w:val="0"/>
          <w:numId w:val="8"/>
        </w:numPr>
        <w:shd w:val="clear" w:color="auto" w:fill="FFFFFF"/>
        <w:ind w:righ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>C</w:t>
      </w:r>
      <w:r w:rsidR="007D0933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omplete a </w:t>
      </w:r>
      <w:hyperlink r:id="rId6" w:tgtFrame="_blank" w:history="1">
        <w:r w:rsidR="00AF7A3D" w:rsidRPr="00145AF6">
          <w:rPr>
            <w:rFonts w:ascii="Arial" w:eastAsia="Times New Roman" w:hAnsi="Arial" w:cs="Arial"/>
            <w:b/>
            <w:bCs/>
            <w:color w:val="161BD8"/>
            <w:sz w:val="28"/>
            <w:szCs w:val="28"/>
            <w:u w:val="single"/>
          </w:rPr>
          <w:t>Club Show Sponsorship Form</w:t>
        </w:r>
      </w:hyperlink>
      <w:r w:rsidR="007D0933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. The completed form must be </w:t>
      </w:r>
      <w:proofErr w:type="spellStart"/>
      <w:r w:rsidR="005429C1" w:rsidRP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eM</w:t>
      </w:r>
      <w:r w:rsidR="007D0933" w:rsidRP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ailed</w:t>
      </w:r>
      <w:proofErr w:type="spellEnd"/>
      <w:r w:rsidR="007D0933" w:rsidRP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a </w:t>
      </w:r>
      <w:r w:rsidR="007D0933" w:rsidRP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minimum 60 days in advance</w:t>
      </w:r>
      <w:r w:rsidR="005429C1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of show date.</w:t>
      </w:r>
      <w:r w:rsidR="007D0933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>to</w:t>
      </w:r>
      <w:r w:rsidR="007D0933" w:rsidRPr="00145AF6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  <w:hyperlink r:id="rId7" w:history="1">
        <w:r w:rsidR="00145AF6" w:rsidRPr="00F3612C">
          <w:rPr>
            <w:rStyle w:val="Hyperlink"/>
            <w:rFonts w:ascii="Arial" w:eastAsia="Times New Roman" w:hAnsi="Arial" w:cs="Arial"/>
            <w:b/>
            <w:bCs/>
            <w:sz w:val="28"/>
            <w:szCs w:val="28"/>
          </w:rPr>
          <w:t>ShowSponsorship@tica.org</w:t>
        </w:r>
      </w:hyperlink>
      <w:r w:rsidR="00145AF6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49A833DD" w14:textId="600F334B" w:rsidR="007D0933" w:rsidRPr="00145AF6" w:rsidRDefault="007D0933" w:rsidP="00145AF6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Show information must be listed in the TICA show calendar on tica.org</w:t>
      </w:r>
      <w:r w:rsidR="00570FD2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prior to applying for funds. 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  <w:highlight w:val="yellow"/>
        </w:rPr>
        <w:t>Please note, TOES does not do this automatically.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570FD2" w:rsidRPr="00570FD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</w:rPr>
        <w:t>(</w:t>
      </w:r>
      <w:r w:rsid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</w:rPr>
        <w:t xml:space="preserve">I want to make sur this is still </w:t>
      </w:r>
      <w:proofErr w:type="gramStart"/>
      <w:r w:rsid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</w:rPr>
        <w:t>correct, or</w:t>
      </w:r>
      <w:proofErr w:type="gramEnd"/>
      <w:r w:rsid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highlight w:val="yellow"/>
        </w:rPr>
        <w:t xml:space="preserve"> does the TFMS/TOES integration do this automatically</w:t>
      </w:r>
      <w:r w:rsid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).</w:t>
      </w:r>
      <w:r w:rsidR="005429C1" w:rsidRPr="00145AF6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 </w:t>
      </w:r>
    </w:p>
    <w:p w14:paraId="7744830A" w14:textId="18EA39D8" w:rsidR="003769EF" w:rsidRPr="00570FD2" w:rsidRDefault="007D0933" w:rsidP="00570FD2">
      <w:pPr>
        <w:pStyle w:val="ListParagraph"/>
        <w:numPr>
          <w:ilvl w:val="0"/>
          <w:numId w:val="8"/>
        </w:numPr>
        <w:shd w:val="clear" w:color="auto" w:fill="FFFFFF"/>
        <w:ind w:right="27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Club</w:t>
      </w:r>
      <w:r w:rsidR="00570FD2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s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outside North America </w:t>
      </w:r>
      <w:r w:rsidR="00AF7A3D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must 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provide a PayPal account </w:t>
      </w:r>
      <w:r w:rsid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in the name of the club 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to receive payment.</w:t>
      </w:r>
      <w:r w:rsidR="00570FD2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You will </w:t>
      </w:r>
      <w:r w:rsidR="00570FD2"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also 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>be asked if Dr. Elsey</w:t>
      </w:r>
      <w:r w:rsidR="00570FD2">
        <w:rPr>
          <w:rFonts w:ascii="Arial" w:eastAsia="Times New Roman" w:hAnsi="Arial" w:cs="Arial"/>
          <w:color w:val="000000" w:themeColor="text1"/>
          <w:sz w:val="28"/>
          <w:szCs w:val="28"/>
        </w:rPr>
        <w:t>’s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litter product</w:t>
      </w:r>
      <w:r w:rsidR="00570FD2">
        <w:rPr>
          <w:rFonts w:ascii="Arial" w:eastAsia="Times New Roman" w:hAnsi="Arial" w:cs="Arial"/>
          <w:color w:val="000000" w:themeColor="text1"/>
          <w:sz w:val="28"/>
          <w:szCs w:val="28"/>
        </w:rPr>
        <w:t>s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570FD2">
        <w:rPr>
          <w:rFonts w:ascii="Arial" w:eastAsia="Times New Roman" w:hAnsi="Arial" w:cs="Arial"/>
          <w:color w:val="000000" w:themeColor="text1"/>
          <w:sz w:val="28"/>
          <w:szCs w:val="28"/>
        </w:rPr>
        <w:t>are</w:t>
      </w:r>
      <w:r w:rsidRPr="00570FD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available in your area</w:t>
      </w:r>
      <w:r w:rsidR="00570FD2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  <w:r w:rsidR="003769EF" w:rsidRPr="00570FD2">
        <w:rPr>
          <w:rFonts w:ascii="Arial" w:eastAsia="Times New Roman" w:hAnsi="Arial" w:cs="Arial"/>
          <w:color w:val="26282A"/>
          <w:sz w:val="28"/>
          <w:szCs w:val="28"/>
        </w:rPr>
        <w:br/>
        <w:t>       </w:t>
      </w:r>
    </w:p>
    <w:p w14:paraId="0D5FC788" w14:textId="448E4856" w:rsidR="00560F72" w:rsidRDefault="00560F72" w:rsidP="00560F72">
      <w:pPr>
        <w:rPr>
          <w:rFonts w:ascii="Arial" w:hAnsi="Arial" w:cs="Arial"/>
          <w:sz w:val="28"/>
          <w:szCs w:val="28"/>
        </w:rPr>
      </w:pPr>
    </w:p>
    <w:p w14:paraId="2179F3B2" w14:textId="5E86C615" w:rsidR="001F713D" w:rsidRDefault="001F713D" w:rsidP="00560F72">
      <w:pPr>
        <w:rPr>
          <w:rFonts w:ascii="Arial" w:hAnsi="Arial" w:cs="Arial"/>
          <w:sz w:val="28"/>
          <w:szCs w:val="28"/>
        </w:rPr>
      </w:pPr>
    </w:p>
    <w:p w14:paraId="2953445C" w14:textId="7A723996" w:rsidR="003769EF" w:rsidRDefault="003769EF" w:rsidP="00560F72">
      <w:pPr>
        <w:rPr>
          <w:rFonts w:ascii="Arial" w:hAnsi="Arial" w:cs="Arial"/>
          <w:sz w:val="28"/>
          <w:szCs w:val="28"/>
        </w:rPr>
      </w:pPr>
    </w:p>
    <w:p w14:paraId="0B182A3A" w14:textId="77777777" w:rsidR="003769EF" w:rsidRPr="003769EF" w:rsidRDefault="003769EF" w:rsidP="00560F72">
      <w:pPr>
        <w:rPr>
          <w:rFonts w:ascii="Arial" w:hAnsi="Arial" w:cs="Arial"/>
          <w:sz w:val="28"/>
          <w:szCs w:val="28"/>
        </w:rPr>
      </w:pPr>
    </w:p>
    <w:sectPr w:rsidR="003769EF" w:rsidRPr="003769EF" w:rsidSect="00A557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AC1"/>
    <w:multiLevelType w:val="multilevel"/>
    <w:tmpl w:val="D718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41480"/>
    <w:multiLevelType w:val="hybridMultilevel"/>
    <w:tmpl w:val="40B2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6E5A"/>
    <w:multiLevelType w:val="hybridMultilevel"/>
    <w:tmpl w:val="7550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6363"/>
    <w:multiLevelType w:val="hybridMultilevel"/>
    <w:tmpl w:val="2400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8B356">
      <w:numFmt w:val="bullet"/>
      <w:lvlText w:val="•"/>
      <w:lvlJc w:val="left"/>
      <w:pPr>
        <w:ind w:left="1440" w:hanging="360"/>
      </w:pPr>
      <w:rPr>
        <w:rFonts w:ascii="inherit" w:eastAsia="Times New Roman" w:hAnsi="inherit" w:cs="Segoe UI Historic" w:hint="default"/>
      </w:rPr>
    </w:lvl>
    <w:lvl w:ilvl="2" w:tplc="6EA2C65C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2CDA"/>
    <w:multiLevelType w:val="multilevel"/>
    <w:tmpl w:val="E882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4E5017"/>
    <w:multiLevelType w:val="hybridMultilevel"/>
    <w:tmpl w:val="7066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04D9E"/>
    <w:multiLevelType w:val="hybridMultilevel"/>
    <w:tmpl w:val="4518FB7C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727D6D86"/>
    <w:multiLevelType w:val="multilevel"/>
    <w:tmpl w:val="E69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2698439">
    <w:abstractNumId w:val="4"/>
  </w:num>
  <w:num w:numId="2" w16cid:durableId="560988920">
    <w:abstractNumId w:val="7"/>
  </w:num>
  <w:num w:numId="3" w16cid:durableId="1013646226">
    <w:abstractNumId w:val="6"/>
  </w:num>
  <w:num w:numId="4" w16cid:durableId="361831652">
    <w:abstractNumId w:val="3"/>
  </w:num>
  <w:num w:numId="5" w16cid:durableId="78260030">
    <w:abstractNumId w:val="1"/>
  </w:num>
  <w:num w:numId="6" w16cid:durableId="987173851">
    <w:abstractNumId w:val="0"/>
  </w:num>
  <w:num w:numId="7" w16cid:durableId="1946419772">
    <w:abstractNumId w:val="5"/>
  </w:num>
  <w:num w:numId="8" w16cid:durableId="2576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72"/>
    <w:rsid w:val="00145AF6"/>
    <w:rsid w:val="001968D4"/>
    <w:rsid w:val="001F713D"/>
    <w:rsid w:val="00355BE4"/>
    <w:rsid w:val="003769EF"/>
    <w:rsid w:val="0051066A"/>
    <w:rsid w:val="005429C1"/>
    <w:rsid w:val="00560F72"/>
    <w:rsid w:val="00570FD2"/>
    <w:rsid w:val="007D0933"/>
    <w:rsid w:val="00A55769"/>
    <w:rsid w:val="00AF7A3D"/>
    <w:rsid w:val="00D2608C"/>
    <w:rsid w:val="00E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E2B7"/>
  <w15:chartTrackingRefBased/>
  <w15:docId w15:val="{ADD8570C-8339-44CD-B7D8-DEED893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F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9EF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71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F713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42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9C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Carey</dc:creator>
  <cp:keywords/>
  <dc:description/>
  <cp:lastModifiedBy>Vicki Harrison</cp:lastModifiedBy>
  <cp:revision>3</cp:revision>
  <dcterms:created xsi:type="dcterms:W3CDTF">2023-04-13T22:47:00Z</dcterms:created>
  <dcterms:modified xsi:type="dcterms:W3CDTF">2023-04-13T22:47:00Z</dcterms:modified>
</cp:coreProperties>
</file>